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4B" w:rsidRPr="008C6F2F" w:rsidRDefault="004A19DD">
      <w:pPr>
        <w:rPr>
          <w:rFonts w:ascii="Arial" w:hAnsi="Arial" w:cs="Arial"/>
          <w:b/>
          <w:sz w:val="20"/>
          <w:szCs w:val="20"/>
        </w:rPr>
      </w:pPr>
      <w:r w:rsidRPr="008C6F2F">
        <w:rPr>
          <w:rFonts w:ascii="Arial" w:hAnsi="Arial" w:cs="Arial"/>
          <w:b/>
          <w:sz w:val="20"/>
          <w:szCs w:val="20"/>
        </w:rPr>
        <w:t xml:space="preserve">NHC: BOARD RESOLUTION </w:t>
      </w:r>
    </w:p>
    <w:p w:rsidR="004A19DD" w:rsidRPr="008C6F2F" w:rsidRDefault="008C6F2F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C6F2F">
        <w:rPr>
          <w:rFonts w:ascii="Arial" w:hAnsi="Arial" w:cs="Arial"/>
          <w:sz w:val="20"/>
          <w:szCs w:val="20"/>
        </w:rPr>
        <w:t>On 26</w:t>
      </w:r>
      <w:r w:rsidR="004A19DD" w:rsidRPr="008C6F2F">
        <w:rPr>
          <w:rFonts w:ascii="Arial" w:hAnsi="Arial" w:cs="Arial"/>
          <w:sz w:val="20"/>
          <w:szCs w:val="20"/>
        </w:rPr>
        <w:t xml:space="preserve">/01/2015 </w:t>
      </w:r>
      <w:proofErr w:type="spellStart"/>
      <w:proofErr w:type="gramStart"/>
      <w:r w:rsidR="004A19DD" w:rsidRPr="008C6F2F">
        <w:rPr>
          <w:rFonts w:ascii="Arial" w:hAnsi="Arial" w:cs="Arial"/>
          <w:sz w:val="20"/>
          <w:szCs w:val="20"/>
          <w:shd w:val="clear" w:color="auto" w:fill="FFFFFF"/>
        </w:rPr>
        <w:t>Nhi</w:t>
      </w:r>
      <w:proofErr w:type="spellEnd"/>
      <w:proofErr w:type="gramEnd"/>
      <w:r w:rsidR="004A19DD" w:rsidRPr="008C6F2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4A19DD" w:rsidRPr="008C6F2F">
        <w:rPr>
          <w:rFonts w:ascii="Arial" w:hAnsi="Arial" w:cs="Arial"/>
          <w:sz w:val="20"/>
          <w:szCs w:val="20"/>
          <w:shd w:val="clear" w:color="auto" w:fill="FFFFFF"/>
        </w:rPr>
        <w:t>Hiep</w:t>
      </w:r>
      <w:proofErr w:type="spellEnd"/>
      <w:r w:rsidR="004A19DD" w:rsidRPr="008C6F2F">
        <w:rPr>
          <w:rFonts w:ascii="Arial" w:hAnsi="Arial" w:cs="Arial"/>
          <w:sz w:val="20"/>
          <w:szCs w:val="20"/>
          <w:shd w:val="clear" w:color="auto" w:fill="FFFFFF"/>
        </w:rPr>
        <w:t xml:space="preserve"> Brick-Tile Joint Stock Company announced Board resolution as follows</w:t>
      </w:r>
    </w:p>
    <w:p w:rsidR="004A19DD" w:rsidRPr="008C6F2F" w:rsidRDefault="004A19DD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8C6F2F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Article 1: </w:t>
      </w:r>
    </w:p>
    <w:p w:rsidR="008C6F2F" w:rsidRPr="008C6F2F" w:rsidRDefault="008C6F2F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BOD </w:t>
      </w:r>
      <w:r>
        <w:rPr>
          <w:rFonts w:ascii="Arial" w:hAnsi="Arial" w:cs="Arial"/>
          <w:sz w:val="20"/>
          <w:szCs w:val="20"/>
          <w:shd w:val="clear" w:color="auto" w:fill="FFFFFF"/>
        </w:rPr>
        <w:t>basically u</w:t>
      </w:r>
      <w:r w:rsidR="008464A7">
        <w:rPr>
          <w:rFonts w:ascii="Arial" w:hAnsi="Arial" w:cs="Arial"/>
          <w:sz w:val="20"/>
          <w:szCs w:val="20"/>
          <w:shd w:val="clear" w:color="auto" w:fill="FFFFFF"/>
        </w:rPr>
        <w:t>nifies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the report of evaluating the situation of implement Resolution No 25/NQ-HDQT of BOD (report attached); implemental figure in Quarter 4 and whole year 2014</w:t>
      </w:r>
      <w:r w:rsidR="00CD4FB3">
        <w:rPr>
          <w:rFonts w:ascii="Arial" w:hAnsi="Arial" w:cs="Arial"/>
          <w:sz w:val="20"/>
          <w:szCs w:val="20"/>
          <w:shd w:val="clear" w:color="auto" w:fill="FFFFFF"/>
        </w:rPr>
        <w:t>, planning figure of 2015 as follow:</w:t>
      </w:r>
    </w:p>
    <w:tbl>
      <w:tblPr>
        <w:tblStyle w:val="TableGrid"/>
        <w:tblW w:w="10915" w:type="dxa"/>
        <w:tblInd w:w="-459" w:type="dxa"/>
        <w:tblLayout w:type="fixed"/>
        <w:tblLook w:val="04A0"/>
      </w:tblPr>
      <w:tblGrid>
        <w:gridCol w:w="425"/>
        <w:gridCol w:w="1418"/>
        <w:gridCol w:w="992"/>
        <w:gridCol w:w="1276"/>
        <w:gridCol w:w="1418"/>
        <w:gridCol w:w="1417"/>
        <w:gridCol w:w="1418"/>
        <w:gridCol w:w="1275"/>
        <w:gridCol w:w="1276"/>
      </w:tblGrid>
      <w:tr w:rsidR="008464A7" w:rsidTr="006E75ED">
        <w:tc>
          <w:tcPr>
            <w:tcW w:w="425" w:type="dxa"/>
          </w:tcPr>
          <w:p w:rsidR="00CD4FB3" w:rsidRPr="008464A7" w:rsidRDefault="00CD4FB3" w:rsidP="00CD4FB3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464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No.</w:t>
            </w:r>
          </w:p>
        </w:tc>
        <w:tc>
          <w:tcPr>
            <w:tcW w:w="1418" w:type="dxa"/>
          </w:tcPr>
          <w:p w:rsidR="00CD4FB3" w:rsidRPr="008464A7" w:rsidRDefault="00CD4FB3" w:rsidP="00CD4FB3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464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Targets</w:t>
            </w:r>
          </w:p>
        </w:tc>
        <w:tc>
          <w:tcPr>
            <w:tcW w:w="992" w:type="dxa"/>
          </w:tcPr>
          <w:p w:rsidR="00CD4FB3" w:rsidRPr="008464A7" w:rsidRDefault="00CD4FB3" w:rsidP="00CD4FB3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464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Figure in</w:t>
            </w:r>
          </w:p>
        </w:tc>
        <w:tc>
          <w:tcPr>
            <w:tcW w:w="1276" w:type="dxa"/>
          </w:tcPr>
          <w:p w:rsidR="00CD4FB3" w:rsidRPr="008464A7" w:rsidRDefault="00CD4FB3" w:rsidP="00CD4FB3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464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Plan of 2014</w:t>
            </w:r>
          </w:p>
        </w:tc>
        <w:tc>
          <w:tcPr>
            <w:tcW w:w="1418" w:type="dxa"/>
          </w:tcPr>
          <w:p w:rsidR="00CD4FB3" w:rsidRPr="008464A7" w:rsidRDefault="00CD4FB3" w:rsidP="00CD4FB3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464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Implemented in Quarter 4/2014</w:t>
            </w:r>
          </w:p>
        </w:tc>
        <w:tc>
          <w:tcPr>
            <w:tcW w:w="1417" w:type="dxa"/>
          </w:tcPr>
          <w:p w:rsidR="00CD4FB3" w:rsidRPr="008464A7" w:rsidRDefault="00CD4FB3" w:rsidP="00CD4FB3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464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Implemented in 2014</w:t>
            </w:r>
          </w:p>
        </w:tc>
        <w:tc>
          <w:tcPr>
            <w:tcW w:w="1418" w:type="dxa"/>
          </w:tcPr>
          <w:p w:rsidR="00CD4FB3" w:rsidRPr="008464A7" w:rsidRDefault="00CD4FB3" w:rsidP="00CD4FB3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464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Rate of implementing /plan in 2014</w:t>
            </w:r>
          </w:p>
        </w:tc>
        <w:tc>
          <w:tcPr>
            <w:tcW w:w="1275" w:type="dxa"/>
          </w:tcPr>
          <w:p w:rsidR="00CD4FB3" w:rsidRPr="008464A7" w:rsidRDefault="00CD4FB3" w:rsidP="00CD4FB3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464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Plan of 2015</w:t>
            </w:r>
          </w:p>
        </w:tc>
        <w:tc>
          <w:tcPr>
            <w:tcW w:w="1276" w:type="dxa"/>
          </w:tcPr>
          <w:p w:rsidR="00CD4FB3" w:rsidRPr="008464A7" w:rsidRDefault="00CD4FB3" w:rsidP="00CD4FB3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464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Plan in quarter 1/2015</w:t>
            </w:r>
          </w:p>
        </w:tc>
      </w:tr>
      <w:tr w:rsidR="008464A7" w:rsidTr="006E75ED">
        <w:tc>
          <w:tcPr>
            <w:tcW w:w="425" w:type="dxa"/>
          </w:tcPr>
          <w:p w:rsidR="00CD4FB3" w:rsidRPr="00CD4FB3" w:rsidRDefault="00CD4FB3" w:rsidP="00CD4FB3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CD4FB3" w:rsidRPr="00CD4FB3" w:rsidRDefault="00CD4FB3" w:rsidP="00CD4FB3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Producing bricks</w:t>
            </w:r>
          </w:p>
        </w:tc>
        <w:tc>
          <w:tcPr>
            <w:tcW w:w="992" w:type="dxa"/>
          </w:tcPr>
          <w:p w:rsidR="00CD4FB3" w:rsidRPr="00CD4FB3" w:rsidRDefault="00CD4FB3" w:rsidP="00CD4FB3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object</w:t>
            </w:r>
          </w:p>
        </w:tc>
        <w:tc>
          <w:tcPr>
            <w:tcW w:w="1276" w:type="dxa"/>
            <w:vAlign w:val="center"/>
          </w:tcPr>
          <w:p w:rsidR="00CD4FB3" w:rsidRPr="00CD4FB3" w:rsidRDefault="00CD4FB3" w:rsidP="006E75E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18</w:t>
            </w:r>
            <w:r w:rsidR="006E75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641</w:t>
            </w:r>
            <w:r w:rsidR="006E75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418" w:type="dxa"/>
            <w:vAlign w:val="center"/>
          </w:tcPr>
          <w:p w:rsidR="00CD4FB3" w:rsidRPr="00CD4FB3" w:rsidRDefault="00CD4FB3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CD4FB3" w:rsidRPr="00CD4FB3" w:rsidRDefault="006E75ED" w:rsidP="006E75E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14.111,</w:t>
            </w:r>
            <w:r w:rsidR="008464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030</w:t>
            </w:r>
          </w:p>
        </w:tc>
        <w:tc>
          <w:tcPr>
            <w:tcW w:w="1418" w:type="dxa"/>
            <w:vAlign w:val="center"/>
          </w:tcPr>
          <w:p w:rsidR="00CD4FB3" w:rsidRPr="00CD4FB3" w:rsidRDefault="006E75ED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75.</w:t>
            </w:r>
            <w:r w:rsidR="008464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7%</w:t>
            </w:r>
          </w:p>
        </w:tc>
        <w:tc>
          <w:tcPr>
            <w:tcW w:w="1275" w:type="dxa"/>
            <w:vAlign w:val="center"/>
          </w:tcPr>
          <w:p w:rsidR="00CD4FB3" w:rsidRPr="00CD4FB3" w:rsidRDefault="00CD4FB3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CD4FB3" w:rsidRPr="00CD4FB3" w:rsidRDefault="00CD4FB3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8464A7" w:rsidTr="006E75ED">
        <w:tc>
          <w:tcPr>
            <w:tcW w:w="425" w:type="dxa"/>
          </w:tcPr>
          <w:p w:rsidR="00CD4FB3" w:rsidRPr="00CD4FB3" w:rsidRDefault="00CD4FB3" w:rsidP="00CD4FB3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18" w:type="dxa"/>
          </w:tcPr>
          <w:p w:rsidR="00CD4FB3" w:rsidRPr="00CD4FB3" w:rsidRDefault="00CD4FB3" w:rsidP="00CD4FB3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Producing tiles</w:t>
            </w:r>
          </w:p>
        </w:tc>
        <w:tc>
          <w:tcPr>
            <w:tcW w:w="992" w:type="dxa"/>
          </w:tcPr>
          <w:p w:rsidR="00CD4FB3" w:rsidRPr="00CD4FB3" w:rsidRDefault="00CD4FB3" w:rsidP="00CD4FB3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object</w:t>
            </w:r>
          </w:p>
        </w:tc>
        <w:tc>
          <w:tcPr>
            <w:tcW w:w="1276" w:type="dxa"/>
            <w:vAlign w:val="center"/>
          </w:tcPr>
          <w:p w:rsidR="00CD4FB3" w:rsidRPr="00CD4FB3" w:rsidRDefault="00CD4FB3" w:rsidP="006E75E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448</w:t>
            </w:r>
            <w:r w:rsidR="006E75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418" w:type="dxa"/>
            <w:vAlign w:val="center"/>
          </w:tcPr>
          <w:p w:rsidR="00CD4FB3" w:rsidRPr="00CD4FB3" w:rsidRDefault="00CD4FB3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CD4FB3" w:rsidRPr="00CD4FB3" w:rsidRDefault="006E75ED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97,</w:t>
            </w:r>
            <w:r w:rsidR="008464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353</w:t>
            </w:r>
          </w:p>
        </w:tc>
        <w:tc>
          <w:tcPr>
            <w:tcW w:w="1418" w:type="dxa"/>
            <w:vAlign w:val="center"/>
          </w:tcPr>
          <w:p w:rsidR="00CD4FB3" w:rsidRPr="00CD4FB3" w:rsidRDefault="006E75ED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21.</w:t>
            </w:r>
            <w:r w:rsidR="008464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7%</w:t>
            </w:r>
          </w:p>
        </w:tc>
        <w:tc>
          <w:tcPr>
            <w:tcW w:w="1275" w:type="dxa"/>
            <w:vAlign w:val="center"/>
          </w:tcPr>
          <w:p w:rsidR="00CD4FB3" w:rsidRPr="00CD4FB3" w:rsidRDefault="00CD4FB3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CD4FB3" w:rsidRPr="00CD4FB3" w:rsidRDefault="00CD4FB3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8464A7" w:rsidTr="006E75ED">
        <w:tc>
          <w:tcPr>
            <w:tcW w:w="425" w:type="dxa"/>
          </w:tcPr>
          <w:p w:rsidR="00CD4FB3" w:rsidRPr="00CD4FB3" w:rsidRDefault="00CD4FB3" w:rsidP="00CD4FB3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418" w:type="dxa"/>
          </w:tcPr>
          <w:p w:rsidR="00CD4FB3" w:rsidRPr="00CD4FB3" w:rsidRDefault="00CD4FB3" w:rsidP="00CD4FB3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Converted brick 8x18</w:t>
            </w:r>
          </w:p>
        </w:tc>
        <w:tc>
          <w:tcPr>
            <w:tcW w:w="992" w:type="dxa"/>
          </w:tcPr>
          <w:p w:rsidR="00CD4FB3" w:rsidRPr="00CD4FB3" w:rsidRDefault="00CD4FB3" w:rsidP="00CD4FB3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object</w:t>
            </w:r>
          </w:p>
        </w:tc>
        <w:tc>
          <w:tcPr>
            <w:tcW w:w="1276" w:type="dxa"/>
            <w:vAlign w:val="center"/>
          </w:tcPr>
          <w:p w:rsidR="00CD4FB3" w:rsidRPr="00CD4FB3" w:rsidRDefault="006E75ED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28,432,</w:t>
            </w:r>
            <w:r w:rsidR="00CD4F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031</w:t>
            </w:r>
          </w:p>
        </w:tc>
        <w:tc>
          <w:tcPr>
            <w:tcW w:w="1418" w:type="dxa"/>
            <w:vAlign w:val="center"/>
          </w:tcPr>
          <w:p w:rsidR="00CD4FB3" w:rsidRPr="00CD4FB3" w:rsidRDefault="00CD4FB3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CD4FB3" w:rsidRPr="00CD4FB3" w:rsidRDefault="006E75ED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15,896,</w:t>
            </w:r>
            <w:r w:rsidR="008464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180</w:t>
            </w:r>
          </w:p>
        </w:tc>
        <w:tc>
          <w:tcPr>
            <w:tcW w:w="1418" w:type="dxa"/>
            <w:vAlign w:val="center"/>
          </w:tcPr>
          <w:p w:rsidR="00CD4FB3" w:rsidRPr="00CD4FB3" w:rsidRDefault="006E75ED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55.</w:t>
            </w:r>
            <w:r w:rsidR="008464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9%</w:t>
            </w:r>
          </w:p>
        </w:tc>
        <w:tc>
          <w:tcPr>
            <w:tcW w:w="1275" w:type="dxa"/>
            <w:vAlign w:val="center"/>
          </w:tcPr>
          <w:p w:rsidR="00CD4FB3" w:rsidRPr="00CD4FB3" w:rsidRDefault="00CD4FB3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CD4FB3" w:rsidRPr="00CD4FB3" w:rsidRDefault="00CD4FB3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8464A7" w:rsidTr="006E75ED">
        <w:tc>
          <w:tcPr>
            <w:tcW w:w="425" w:type="dxa"/>
          </w:tcPr>
          <w:p w:rsidR="00CD4FB3" w:rsidRPr="00CD4FB3" w:rsidRDefault="00CD4FB3" w:rsidP="00CD4FB3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418" w:type="dxa"/>
          </w:tcPr>
          <w:p w:rsidR="00CD4FB3" w:rsidRPr="00CD4FB3" w:rsidRDefault="00CD4FB3" w:rsidP="00CD4FB3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Export stone, processing construction stone</w:t>
            </w:r>
          </w:p>
        </w:tc>
        <w:tc>
          <w:tcPr>
            <w:tcW w:w="992" w:type="dxa"/>
          </w:tcPr>
          <w:p w:rsidR="00CD4FB3" w:rsidRPr="00CD4FB3" w:rsidRDefault="00CD4FB3" w:rsidP="00CD4FB3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</w:t>
            </w:r>
            <w:r w:rsidRPr="00CD4FB3">
              <w:rPr>
                <w:rFonts w:ascii="Arial" w:hAnsi="Arial" w:cs="Arial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CD4FB3" w:rsidRPr="00CD4FB3" w:rsidRDefault="00CD4FB3" w:rsidP="006E75E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450</w:t>
            </w:r>
            <w:r w:rsidR="006E75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418" w:type="dxa"/>
            <w:vAlign w:val="center"/>
          </w:tcPr>
          <w:p w:rsidR="00CD4FB3" w:rsidRPr="00CD4FB3" w:rsidRDefault="006E75ED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117,</w:t>
            </w:r>
            <w:r w:rsidR="00CD4F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740</w:t>
            </w:r>
          </w:p>
        </w:tc>
        <w:tc>
          <w:tcPr>
            <w:tcW w:w="1417" w:type="dxa"/>
            <w:vAlign w:val="center"/>
          </w:tcPr>
          <w:p w:rsidR="00CD4FB3" w:rsidRPr="00CD4FB3" w:rsidRDefault="008464A7" w:rsidP="006E75E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506</w:t>
            </w:r>
            <w:r w:rsidR="006E75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060</w:t>
            </w:r>
          </w:p>
        </w:tc>
        <w:tc>
          <w:tcPr>
            <w:tcW w:w="1418" w:type="dxa"/>
            <w:vAlign w:val="center"/>
          </w:tcPr>
          <w:p w:rsidR="00CD4FB3" w:rsidRPr="00CD4FB3" w:rsidRDefault="006E75ED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112.</w:t>
            </w:r>
            <w:r w:rsidR="008464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5%</w:t>
            </w:r>
          </w:p>
        </w:tc>
        <w:tc>
          <w:tcPr>
            <w:tcW w:w="1275" w:type="dxa"/>
            <w:vAlign w:val="center"/>
          </w:tcPr>
          <w:p w:rsidR="00CD4FB3" w:rsidRPr="00CD4FB3" w:rsidRDefault="006E75ED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520,</w:t>
            </w:r>
            <w:r w:rsidR="008464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276" w:type="dxa"/>
            <w:vAlign w:val="center"/>
          </w:tcPr>
          <w:p w:rsidR="00CD4FB3" w:rsidRPr="00CD4FB3" w:rsidRDefault="006E75ED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120,</w:t>
            </w:r>
            <w:r w:rsidR="008464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000</w:t>
            </w:r>
          </w:p>
        </w:tc>
      </w:tr>
      <w:tr w:rsidR="008464A7" w:rsidTr="006E75ED">
        <w:trPr>
          <w:trHeight w:val="515"/>
        </w:trPr>
        <w:tc>
          <w:tcPr>
            <w:tcW w:w="425" w:type="dxa"/>
          </w:tcPr>
          <w:p w:rsidR="00CD4FB3" w:rsidRPr="00CD4FB3" w:rsidRDefault="00CD4FB3" w:rsidP="00CD4FB3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418" w:type="dxa"/>
          </w:tcPr>
          <w:p w:rsidR="00CD4FB3" w:rsidRPr="00CD4FB3" w:rsidRDefault="00CD4FB3" w:rsidP="00CD4FB3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Leveling sand, stone business</w:t>
            </w:r>
          </w:p>
        </w:tc>
        <w:tc>
          <w:tcPr>
            <w:tcW w:w="992" w:type="dxa"/>
          </w:tcPr>
          <w:p w:rsidR="00CD4FB3" w:rsidRPr="00CD4FB3" w:rsidRDefault="00CD4FB3" w:rsidP="00CD4FB3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</w:t>
            </w:r>
            <w:r w:rsidRPr="00CD4FB3">
              <w:rPr>
                <w:rFonts w:ascii="Arial" w:hAnsi="Arial" w:cs="Arial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CD4FB3" w:rsidRPr="00CD4FB3" w:rsidRDefault="006E75ED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35,030,</w:t>
            </w:r>
            <w:r w:rsidR="00CD4F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394</w:t>
            </w:r>
          </w:p>
        </w:tc>
        <w:tc>
          <w:tcPr>
            <w:tcW w:w="1418" w:type="dxa"/>
            <w:vAlign w:val="center"/>
          </w:tcPr>
          <w:p w:rsidR="00CD4FB3" w:rsidRPr="00CD4FB3" w:rsidRDefault="006E75ED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19,</w:t>
            </w:r>
            <w:r w:rsidR="00CD4F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123</w:t>
            </w:r>
          </w:p>
        </w:tc>
        <w:tc>
          <w:tcPr>
            <w:tcW w:w="1417" w:type="dxa"/>
            <w:vAlign w:val="center"/>
          </w:tcPr>
          <w:p w:rsidR="00CD4FB3" w:rsidRPr="00CD4FB3" w:rsidRDefault="006E75ED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67,</w:t>
            </w:r>
            <w:r w:rsidR="008464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492</w:t>
            </w:r>
          </w:p>
        </w:tc>
        <w:tc>
          <w:tcPr>
            <w:tcW w:w="1418" w:type="dxa"/>
            <w:vAlign w:val="center"/>
          </w:tcPr>
          <w:p w:rsidR="00CD4FB3" w:rsidRPr="00CD4FB3" w:rsidRDefault="00CD4FB3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CD4FB3" w:rsidRPr="00CD4FB3" w:rsidRDefault="006E75ED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60,</w:t>
            </w:r>
            <w:r w:rsidR="008464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276" w:type="dxa"/>
            <w:vAlign w:val="center"/>
          </w:tcPr>
          <w:p w:rsidR="00CD4FB3" w:rsidRPr="00CD4FB3" w:rsidRDefault="006E75ED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12,</w:t>
            </w:r>
            <w:r w:rsidR="008464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000</w:t>
            </w:r>
          </w:p>
        </w:tc>
      </w:tr>
      <w:tr w:rsidR="008464A7" w:rsidTr="006E75ED">
        <w:tc>
          <w:tcPr>
            <w:tcW w:w="425" w:type="dxa"/>
          </w:tcPr>
          <w:p w:rsidR="00CD4FB3" w:rsidRPr="00CD4FB3" w:rsidRDefault="00CD4FB3" w:rsidP="00CD4FB3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418" w:type="dxa"/>
          </w:tcPr>
          <w:p w:rsidR="00CD4FB3" w:rsidRPr="00CD4FB3" w:rsidRDefault="00CD4FB3" w:rsidP="00CD4FB3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Cost of production goods</w:t>
            </w:r>
          </w:p>
        </w:tc>
        <w:tc>
          <w:tcPr>
            <w:tcW w:w="992" w:type="dxa"/>
          </w:tcPr>
          <w:p w:rsidR="00CD4FB3" w:rsidRPr="00CD4FB3" w:rsidRDefault="00CD4FB3" w:rsidP="00CD4FB3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1000 dong</w:t>
            </w:r>
          </w:p>
        </w:tc>
        <w:tc>
          <w:tcPr>
            <w:tcW w:w="1276" w:type="dxa"/>
            <w:vAlign w:val="center"/>
          </w:tcPr>
          <w:p w:rsidR="00CD4FB3" w:rsidRPr="00CD4FB3" w:rsidRDefault="00CD4FB3" w:rsidP="006E75E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100</w:t>
            </w:r>
            <w:r w:rsidR="006E75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945</w:t>
            </w:r>
            <w:r w:rsidR="006E75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450</w:t>
            </w:r>
          </w:p>
        </w:tc>
        <w:tc>
          <w:tcPr>
            <w:tcW w:w="1418" w:type="dxa"/>
            <w:vAlign w:val="center"/>
          </w:tcPr>
          <w:p w:rsidR="00CD4FB3" w:rsidRPr="00CD4FB3" w:rsidRDefault="006E75ED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6,871,</w:t>
            </w:r>
            <w:r w:rsidR="00CD4F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625</w:t>
            </w:r>
          </w:p>
        </w:tc>
        <w:tc>
          <w:tcPr>
            <w:tcW w:w="1417" w:type="dxa"/>
            <w:vAlign w:val="center"/>
          </w:tcPr>
          <w:p w:rsidR="00CD4FB3" w:rsidRPr="00CD4FB3" w:rsidRDefault="006E75ED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32,423,</w:t>
            </w:r>
            <w:r w:rsidR="008464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270</w:t>
            </w:r>
          </w:p>
        </w:tc>
        <w:tc>
          <w:tcPr>
            <w:tcW w:w="1418" w:type="dxa"/>
            <w:vAlign w:val="center"/>
          </w:tcPr>
          <w:p w:rsidR="00CD4FB3" w:rsidRPr="00CD4FB3" w:rsidRDefault="006E75ED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92.</w:t>
            </w:r>
            <w:r w:rsidR="008464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6%</w:t>
            </w:r>
          </w:p>
        </w:tc>
        <w:tc>
          <w:tcPr>
            <w:tcW w:w="1275" w:type="dxa"/>
            <w:vAlign w:val="center"/>
          </w:tcPr>
          <w:p w:rsidR="00CD4FB3" w:rsidRPr="00CD4FB3" w:rsidRDefault="006E75ED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27,363,</w:t>
            </w:r>
            <w:r w:rsidR="008464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440</w:t>
            </w:r>
          </w:p>
        </w:tc>
        <w:tc>
          <w:tcPr>
            <w:tcW w:w="1276" w:type="dxa"/>
            <w:vAlign w:val="center"/>
          </w:tcPr>
          <w:p w:rsidR="00CD4FB3" w:rsidRPr="00CD4FB3" w:rsidRDefault="006E75ED" w:rsidP="006E75E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6,</w:t>
            </w:r>
            <w:r w:rsidR="008464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265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="008464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000</w:t>
            </w:r>
          </w:p>
        </w:tc>
      </w:tr>
      <w:tr w:rsidR="008464A7" w:rsidTr="006E75ED">
        <w:tc>
          <w:tcPr>
            <w:tcW w:w="425" w:type="dxa"/>
          </w:tcPr>
          <w:p w:rsidR="00CD4FB3" w:rsidRPr="00CD4FB3" w:rsidRDefault="00CD4FB3" w:rsidP="00CD4FB3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418" w:type="dxa"/>
          </w:tcPr>
          <w:p w:rsidR="00CD4FB3" w:rsidRPr="00CD4FB3" w:rsidRDefault="00CD4FB3" w:rsidP="00CD4FB3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Total revenue</w:t>
            </w:r>
          </w:p>
        </w:tc>
        <w:tc>
          <w:tcPr>
            <w:tcW w:w="992" w:type="dxa"/>
          </w:tcPr>
          <w:p w:rsidR="00CD4FB3" w:rsidRPr="00CD4FB3" w:rsidRDefault="00CD4FB3" w:rsidP="00CD4FB3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1000 dong</w:t>
            </w:r>
          </w:p>
        </w:tc>
        <w:tc>
          <w:tcPr>
            <w:tcW w:w="1276" w:type="dxa"/>
            <w:vAlign w:val="center"/>
          </w:tcPr>
          <w:p w:rsidR="00CD4FB3" w:rsidRPr="00CD4FB3" w:rsidRDefault="00CD4FB3" w:rsidP="006E75E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7</w:t>
            </w:r>
            <w:r w:rsidR="006E75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378</w:t>
            </w:r>
            <w:r w:rsidR="006E75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757</w:t>
            </w:r>
          </w:p>
        </w:tc>
        <w:tc>
          <w:tcPr>
            <w:tcW w:w="1418" w:type="dxa"/>
            <w:vAlign w:val="center"/>
          </w:tcPr>
          <w:p w:rsidR="00CD4FB3" w:rsidRPr="00CD4FB3" w:rsidRDefault="006E75ED" w:rsidP="006E75E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28,</w:t>
            </w:r>
            <w:r w:rsidR="00CD4F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067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="00CD4F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548</w:t>
            </w:r>
          </w:p>
        </w:tc>
        <w:tc>
          <w:tcPr>
            <w:tcW w:w="1417" w:type="dxa"/>
            <w:vAlign w:val="center"/>
          </w:tcPr>
          <w:p w:rsidR="00CD4FB3" w:rsidRPr="00CD4FB3" w:rsidRDefault="006E75ED" w:rsidP="006E75E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116,</w:t>
            </w:r>
            <w:r w:rsidR="008464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062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="008464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974</w:t>
            </w:r>
          </w:p>
        </w:tc>
        <w:tc>
          <w:tcPr>
            <w:tcW w:w="1418" w:type="dxa"/>
            <w:vAlign w:val="center"/>
          </w:tcPr>
          <w:p w:rsidR="00CD4FB3" w:rsidRPr="00CD4FB3" w:rsidRDefault="006E75ED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115.</w:t>
            </w:r>
            <w:r w:rsidR="008464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0%</w:t>
            </w:r>
          </w:p>
        </w:tc>
        <w:tc>
          <w:tcPr>
            <w:tcW w:w="1275" w:type="dxa"/>
            <w:vAlign w:val="center"/>
          </w:tcPr>
          <w:p w:rsidR="00CD4FB3" w:rsidRPr="00CD4FB3" w:rsidRDefault="008464A7" w:rsidP="006E75E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100</w:t>
            </w:r>
            <w:r w:rsidR="006E75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199</w:t>
            </w:r>
            <w:r w:rsidR="006E75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160</w:t>
            </w:r>
          </w:p>
        </w:tc>
        <w:tc>
          <w:tcPr>
            <w:tcW w:w="1276" w:type="dxa"/>
            <w:vAlign w:val="center"/>
          </w:tcPr>
          <w:p w:rsidR="00CD4FB3" w:rsidRPr="00CD4FB3" w:rsidRDefault="006E75ED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22,525,</w:t>
            </w:r>
            <w:r w:rsidR="008464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000</w:t>
            </w:r>
          </w:p>
        </w:tc>
      </w:tr>
      <w:tr w:rsidR="008464A7" w:rsidTr="006E75ED">
        <w:tc>
          <w:tcPr>
            <w:tcW w:w="425" w:type="dxa"/>
          </w:tcPr>
          <w:p w:rsidR="00CD4FB3" w:rsidRPr="00CD4FB3" w:rsidRDefault="00CD4FB3" w:rsidP="00CD4FB3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418" w:type="dxa"/>
          </w:tcPr>
          <w:p w:rsidR="00CD4FB3" w:rsidRPr="00CD4FB3" w:rsidRDefault="00CD4FB3" w:rsidP="00CD4FB3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Total profit</w:t>
            </w:r>
          </w:p>
        </w:tc>
        <w:tc>
          <w:tcPr>
            <w:tcW w:w="992" w:type="dxa"/>
          </w:tcPr>
          <w:p w:rsidR="00CD4FB3" w:rsidRPr="00CD4FB3" w:rsidRDefault="00CD4FB3" w:rsidP="00CD4FB3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1000 dong</w:t>
            </w:r>
          </w:p>
        </w:tc>
        <w:tc>
          <w:tcPr>
            <w:tcW w:w="1276" w:type="dxa"/>
            <w:vAlign w:val="center"/>
          </w:tcPr>
          <w:p w:rsidR="00CD4FB3" w:rsidRPr="00CD4FB3" w:rsidRDefault="00CD4FB3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CD4FB3" w:rsidRPr="00CD4FB3" w:rsidRDefault="006E75ED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3,869,</w:t>
            </w:r>
            <w:r w:rsidR="00CD4F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351</w:t>
            </w:r>
          </w:p>
        </w:tc>
        <w:tc>
          <w:tcPr>
            <w:tcW w:w="1417" w:type="dxa"/>
            <w:vAlign w:val="center"/>
          </w:tcPr>
          <w:p w:rsidR="00CD4FB3" w:rsidRPr="00CD4FB3" w:rsidRDefault="006E75ED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10,271,</w:t>
            </w:r>
            <w:r w:rsidR="008464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354</w:t>
            </w:r>
          </w:p>
        </w:tc>
        <w:tc>
          <w:tcPr>
            <w:tcW w:w="1418" w:type="dxa"/>
            <w:vAlign w:val="center"/>
          </w:tcPr>
          <w:p w:rsidR="00CD4FB3" w:rsidRPr="00CD4FB3" w:rsidRDefault="006E75ED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139.</w:t>
            </w:r>
            <w:r w:rsidR="008464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2%</w:t>
            </w:r>
          </w:p>
        </w:tc>
        <w:tc>
          <w:tcPr>
            <w:tcW w:w="1275" w:type="dxa"/>
            <w:vAlign w:val="center"/>
          </w:tcPr>
          <w:p w:rsidR="00CD4FB3" w:rsidRPr="00CD4FB3" w:rsidRDefault="006E75ED" w:rsidP="008464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11,835,</w:t>
            </w:r>
            <w:r w:rsidR="008464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6" w:type="dxa"/>
            <w:vAlign w:val="center"/>
          </w:tcPr>
          <w:p w:rsidR="00CD4FB3" w:rsidRPr="00CD4FB3" w:rsidRDefault="008464A7" w:rsidP="006E75E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</w:t>
            </w:r>
            <w:r w:rsidR="006E75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173</w:t>
            </w:r>
            <w:r w:rsidR="006E75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000</w:t>
            </w:r>
          </w:p>
        </w:tc>
      </w:tr>
    </w:tbl>
    <w:p w:rsidR="00CD4FB3" w:rsidRDefault="00CD4FB3">
      <w:pPr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642480" w:rsidRPr="008C6F2F" w:rsidRDefault="00642480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8C6F2F">
        <w:rPr>
          <w:rFonts w:ascii="Arial" w:hAnsi="Arial" w:cs="Arial"/>
          <w:b/>
          <w:sz w:val="20"/>
          <w:szCs w:val="20"/>
          <w:shd w:val="clear" w:color="auto" w:fill="FFFFFF"/>
        </w:rPr>
        <w:t>Article 2:</w:t>
      </w:r>
      <w:r w:rsidR="008464A7">
        <w:rPr>
          <w:rFonts w:ascii="Arial" w:hAnsi="Arial" w:cs="Arial"/>
          <w:b/>
          <w:sz w:val="20"/>
          <w:szCs w:val="20"/>
          <w:shd w:val="clear" w:color="auto" w:fill="FFFFFF"/>
        </w:rPr>
        <w:t xml:space="preserve"> Some main activity orientation in quarter 1/2015</w:t>
      </w:r>
    </w:p>
    <w:p w:rsidR="00642480" w:rsidRDefault="008464A7" w:rsidP="00642480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2.1. Focusing financial settlement of quarter 4 and whole year 2014 through Supervisory and Auditing Board checking independently; concurrently, announcing to close the list of shareholders to hold Meeting General of Shareholders and dividing remained dividends </w:t>
      </w:r>
      <w:r w:rsidR="009121AB">
        <w:rPr>
          <w:rFonts w:ascii="Arial" w:eastAsia="Calibri" w:hAnsi="Arial" w:cs="Arial"/>
          <w:sz w:val="20"/>
          <w:szCs w:val="20"/>
        </w:rPr>
        <w:t>of last 6 months of year: 13% (VND 1.000 per shares) before AGM.</w:t>
      </w:r>
    </w:p>
    <w:p w:rsidR="009121AB" w:rsidRDefault="009121AB" w:rsidP="00642480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2.2. Continue liquidating plants and furnace system, machinery (including forming machine system) in form of competitive bidding.</w:t>
      </w:r>
    </w:p>
    <w:p w:rsidR="009121AB" w:rsidRDefault="009121AB" w:rsidP="00642480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2.3. Continue strengthening the 15 </w:t>
      </w:r>
      <w:proofErr w:type="spellStart"/>
      <w:r>
        <w:rPr>
          <w:rFonts w:ascii="Arial" w:eastAsia="Calibri" w:hAnsi="Arial" w:cs="Arial"/>
          <w:sz w:val="20"/>
          <w:szCs w:val="20"/>
        </w:rPr>
        <w:t>metres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long downgraded water port to ensure the business production operation</w:t>
      </w:r>
    </w:p>
    <w:p w:rsidR="009121AB" w:rsidRDefault="009121AB" w:rsidP="00642480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>2.4. Arranging to handle the indirect personnel to be neat after finish liquidating plants, the remained equipment enough to ensure the efficiency of operation.</w:t>
      </w:r>
    </w:p>
    <w:p w:rsidR="009121AB" w:rsidRDefault="009121AB" w:rsidP="00642480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2.5. Holding Annual General Meeting of Shareholders 2015 on 14/03/2015, entrusting Mr. </w:t>
      </w:r>
      <w:proofErr w:type="spellStart"/>
      <w:r>
        <w:rPr>
          <w:rFonts w:ascii="Arial" w:eastAsia="Calibri" w:hAnsi="Arial" w:cs="Arial"/>
          <w:sz w:val="20"/>
          <w:szCs w:val="20"/>
        </w:rPr>
        <w:t>Chau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and Mr. Nui</w:t>
      </w:r>
      <w:r w:rsidR="00730A8E">
        <w:rPr>
          <w:rFonts w:ascii="Arial" w:eastAsia="Calibri" w:hAnsi="Arial" w:cs="Arial"/>
          <w:sz w:val="20"/>
          <w:szCs w:val="20"/>
        </w:rPr>
        <w:t xml:space="preserve"> prepare report documents to meet BOD at the end of February/2015</w:t>
      </w:r>
    </w:p>
    <w:p w:rsidR="00730A8E" w:rsidRDefault="00730A8E" w:rsidP="00642480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2.6. Liquidating Fort Everest car, staff and employees of Company that have needs of taking business trip go to hire cars of M&amp;C Company according to annual norm of the Company.</w:t>
      </w:r>
    </w:p>
    <w:p w:rsidR="00730A8E" w:rsidRPr="008C6F2F" w:rsidRDefault="00730A8E" w:rsidP="00642480">
      <w:pPr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2.7. Implementing some year-end works, such as: considering to reward and handing the salary, reward policies for labors, programs before, during and after </w:t>
      </w:r>
      <w:proofErr w:type="spellStart"/>
      <w:r>
        <w:rPr>
          <w:rFonts w:ascii="Arial" w:eastAsia="Calibri" w:hAnsi="Arial" w:cs="Arial"/>
          <w:sz w:val="20"/>
          <w:szCs w:val="20"/>
        </w:rPr>
        <w:t>Tet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Holiday, paying compliment to customers, Labors Conference and New </w:t>
      </w:r>
      <w:proofErr w:type="gramStart"/>
      <w:r>
        <w:rPr>
          <w:rFonts w:ascii="Arial" w:eastAsia="Calibri" w:hAnsi="Arial" w:cs="Arial"/>
          <w:sz w:val="20"/>
          <w:szCs w:val="20"/>
        </w:rPr>
        <w:t>year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 eve’s party, customers conference according to the united program with M&amp;C Company</w:t>
      </w:r>
    </w:p>
    <w:p w:rsidR="00242A6C" w:rsidRPr="008C6F2F" w:rsidRDefault="00242A6C" w:rsidP="00642480">
      <w:pPr>
        <w:rPr>
          <w:rFonts w:ascii="Arial" w:hAnsi="Arial" w:cs="Arial"/>
          <w:b/>
          <w:sz w:val="20"/>
          <w:szCs w:val="20"/>
        </w:rPr>
      </w:pPr>
      <w:r w:rsidRPr="008C6F2F">
        <w:rPr>
          <w:rFonts w:ascii="Arial" w:hAnsi="Arial" w:cs="Arial"/>
          <w:b/>
          <w:sz w:val="20"/>
          <w:szCs w:val="20"/>
        </w:rPr>
        <w:t>Article 3:</w:t>
      </w:r>
    </w:p>
    <w:p w:rsidR="00242A6C" w:rsidRPr="008C6F2F" w:rsidRDefault="00242A6C" w:rsidP="00642480">
      <w:pPr>
        <w:rPr>
          <w:rFonts w:ascii="Arial" w:eastAsia="Calibri" w:hAnsi="Arial" w:cs="Arial"/>
          <w:sz w:val="20"/>
          <w:szCs w:val="20"/>
        </w:rPr>
      </w:pPr>
      <w:r w:rsidRPr="008C6F2F">
        <w:rPr>
          <w:rFonts w:ascii="Arial" w:hAnsi="Arial" w:cs="Arial"/>
          <w:sz w:val="20"/>
          <w:szCs w:val="20"/>
        </w:rPr>
        <w:t xml:space="preserve">This board resolution was approved by 5/5 members of Board, takes effect from signature date. </w:t>
      </w:r>
      <w:r w:rsidRPr="008C6F2F">
        <w:rPr>
          <w:rFonts w:ascii="Arial" w:eastAsia="Calibri" w:hAnsi="Arial" w:cs="Arial"/>
          <w:sz w:val="20"/>
          <w:szCs w:val="20"/>
        </w:rPr>
        <w:t xml:space="preserve">Board of Directors, </w:t>
      </w:r>
      <w:r w:rsidRPr="008C6F2F">
        <w:rPr>
          <w:rFonts w:ascii="Arial" w:hAnsi="Arial" w:cs="Arial"/>
          <w:sz w:val="20"/>
          <w:szCs w:val="20"/>
        </w:rPr>
        <w:t>Asset Liquidation Board</w:t>
      </w:r>
      <w:r w:rsidRPr="008C6F2F">
        <w:rPr>
          <w:rFonts w:ascii="Arial" w:eastAsia="Calibri" w:hAnsi="Arial" w:cs="Arial"/>
          <w:sz w:val="20"/>
          <w:szCs w:val="20"/>
        </w:rPr>
        <w:t xml:space="preserve">, and </w:t>
      </w:r>
      <w:r w:rsidRPr="008C6F2F">
        <w:rPr>
          <w:rFonts w:ascii="Arial" w:hAnsi="Arial" w:cs="Arial"/>
          <w:sz w:val="20"/>
          <w:szCs w:val="20"/>
        </w:rPr>
        <w:t>related</w:t>
      </w:r>
      <w:r w:rsidRPr="008C6F2F">
        <w:rPr>
          <w:rFonts w:ascii="Arial" w:eastAsia="Calibri" w:hAnsi="Arial" w:cs="Arial"/>
          <w:sz w:val="20"/>
          <w:szCs w:val="20"/>
        </w:rPr>
        <w:t xml:space="preserve"> functional </w:t>
      </w:r>
      <w:r w:rsidRPr="008C6F2F">
        <w:rPr>
          <w:rFonts w:ascii="Arial" w:hAnsi="Arial" w:cs="Arial"/>
          <w:sz w:val="20"/>
          <w:szCs w:val="20"/>
        </w:rPr>
        <w:t>individuals</w:t>
      </w:r>
      <w:r w:rsidRPr="008C6F2F">
        <w:rPr>
          <w:rFonts w:ascii="Arial" w:eastAsia="Calibri" w:hAnsi="Arial" w:cs="Arial"/>
          <w:sz w:val="20"/>
          <w:szCs w:val="20"/>
        </w:rPr>
        <w:t xml:space="preserve"> take responsibility for implementation of this Board resolution</w:t>
      </w:r>
    </w:p>
    <w:p w:rsidR="00642480" w:rsidRPr="008C6F2F" w:rsidRDefault="00642480">
      <w:pPr>
        <w:rPr>
          <w:rFonts w:ascii="Arial" w:hAnsi="Arial" w:cs="Arial"/>
          <w:b/>
          <w:sz w:val="20"/>
          <w:szCs w:val="20"/>
          <w:shd w:val="clear" w:color="auto" w:fill="FFFFFF"/>
        </w:rPr>
      </w:pPr>
    </w:p>
    <w:sectPr w:rsidR="00642480" w:rsidRPr="008C6F2F" w:rsidSect="007F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A19DD"/>
    <w:rsid w:val="000D41F2"/>
    <w:rsid w:val="000E7484"/>
    <w:rsid w:val="00242A6C"/>
    <w:rsid w:val="002A608B"/>
    <w:rsid w:val="003117C9"/>
    <w:rsid w:val="003D62F3"/>
    <w:rsid w:val="0043026A"/>
    <w:rsid w:val="004A19DD"/>
    <w:rsid w:val="00531A78"/>
    <w:rsid w:val="00564C61"/>
    <w:rsid w:val="00642480"/>
    <w:rsid w:val="006E75ED"/>
    <w:rsid w:val="00730A8E"/>
    <w:rsid w:val="007F354B"/>
    <w:rsid w:val="008464A7"/>
    <w:rsid w:val="00875F0C"/>
    <w:rsid w:val="008C6F2F"/>
    <w:rsid w:val="009121AB"/>
    <w:rsid w:val="00CD4FB3"/>
    <w:rsid w:val="00D4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right="-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480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2015-02-04T08:28:00Z</dcterms:created>
  <dcterms:modified xsi:type="dcterms:W3CDTF">2015-02-05T03:10:00Z</dcterms:modified>
</cp:coreProperties>
</file>